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3" w:rsidRDefault="00204803" w:rsidP="0042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17</w:t>
      </w:r>
    </w:p>
    <w:p w:rsidR="004204D4" w:rsidRDefault="0027512D" w:rsidP="0042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204D4">
        <w:rPr>
          <w:rFonts w:ascii="Times New Roman" w:eastAsia="Times New Roman" w:hAnsi="Times New Roman" w:cs="Times New Roman"/>
          <w:b/>
          <w:bCs/>
        </w:rPr>
        <w:t xml:space="preserve">COLESTASIA SEVERA SECUNDARIA A HIPERTIROIDISMO POR ENFERMEDAD DE GRAVES BASEDOW: REPORTE DE UN CASO </w:t>
      </w:r>
    </w:p>
    <w:p w:rsidR="004204D4" w:rsidRDefault="0027512D" w:rsidP="004204D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4204D4">
        <w:rPr>
          <w:rFonts w:ascii="Times New Roman" w:eastAsia="Times New Roman" w:hAnsi="Times New Roman" w:cs="Times New Roman"/>
        </w:rPr>
        <w:t>M</w:t>
      </w:r>
      <w:r w:rsidR="000F7CFA">
        <w:rPr>
          <w:rFonts w:ascii="Times New Roman" w:eastAsia="Times New Roman" w:hAnsi="Times New Roman" w:cs="Times New Roman"/>
        </w:rPr>
        <w:t>aría Barra Quintana</w:t>
      </w:r>
      <w:r w:rsidRPr="004204D4">
        <w:rPr>
          <w:rFonts w:ascii="Times New Roman" w:eastAsia="Times New Roman" w:hAnsi="Times New Roman" w:cs="Times New Roman"/>
          <w:vertAlign w:val="superscript"/>
        </w:rPr>
        <w:t>1</w:t>
      </w:r>
      <w:r w:rsidRPr="004204D4">
        <w:rPr>
          <w:rFonts w:ascii="Times New Roman" w:eastAsia="Times New Roman" w:hAnsi="Times New Roman" w:cs="Times New Roman"/>
        </w:rPr>
        <w:t>, J</w:t>
      </w:r>
      <w:r w:rsidR="000F7CFA">
        <w:rPr>
          <w:rFonts w:ascii="Times New Roman" w:eastAsia="Times New Roman" w:hAnsi="Times New Roman" w:cs="Times New Roman"/>
        </w:rPr>
        <w:t>osé Miguel Domínguez Ruiz-Tagle</w:t>
      </w:r>
      <w:r w:rsidRPr="004204D4">
        <w:rPr>
          <w:rFonts w:ascii="Times New Roman" w:eastAsia="Times New Roman" w:hAnsi="Times New Roman" w:cs="Times New Roman"/>
          <w:vertAlign w:val="superscript"/>
        </w:rPr>
        <w:t>1</w:t>
      </w:r>
      <w:r w:rsidRPr="004204D4">
        <w:rPr>
          <w:rFonts w:ascii="Times New Roman" w:eastAsia="Times New Roman" w:hAnsi="Times New Roman" w:cs="Times New Roman"/>
        </w:rPr>
        <w:t>, Francisco Barrera Martinez</w:t>
      </w:r>
      <w:r w:rsidRPr="004204D4">
        <w:rPr>
          <w:rFonts w:ascii="Times New Roman" w:eastAsia="Times New Roman" w:hAnsi="Times New Roman" w:cs="Times New Roman"/>
          <w:vertAlign w:val="superscript"/>
        </w:rPr>
        <w:t>2</w:t>
      </w:r>
      <w:r w:rsidRPr="004204D4">
        <w:rPr>
          <w:rFonts w:ascii="Times New Roman" w:eastAsia="Times New Roman" w:hAnsi="Times New Roman" w:cs="Times New Roman"/>
        </w:rPr>
        <w:t>, Javiera Torres Montes</w:t>
      </w:r>
      <w:r w:rsidRPr="004204D4">
        <w:rPr>
          <w:rFonts w:ascii="Times New Roman" w:eastAsia="Times New Roman" w:hAnsi="Times New Roman" w:cs="Times New Roman"/>
          <w:vertAlign w:val="superscript"/>
        </w:rPr>
        <w:t>3</w:t>
      </w:r>
      <w:r w:rsidRPr="004204D4">
        <w:rPr>
          <w:rFonts w:ascii="Times New Roman" w:eastAsia="Times New Roman" w:hAnsi="Times New Roman" w:cs="Times New Roman"/>
        </w:rPr>
        <w:t>, L</w:t>
      </w:r>
      <w:r w:rsidR="000F7CFA">
        <w:rPr>
          <w:rFonts w:ascii="Times New Roman" w:eastAsia="Times New Roman" w:hAnsi="Times New Roman" w:cs="Times New Roman"/>
        </w:rPr>
        <w:t>orena Mosso Gómez</w:t>
      </w:r>
      <w:r w:rsidRPr="004204D4">
        <w:rPr>
          <w:rFonts w:ascii="Times New Roman" w:eastAsia="Times New Roman" w:hAnsi="Times New Roman" w:cs="Times New Roman"/>
          <w:vertAlign w:val="superscript"/>
        </w:rPr>
        <w:t>1</w:t>
      </w:r>
    </w:p>
    <w:p w:rsidR="00356C38" w:rsidRPr="004204D4" w:rsidRDefault="0027512D" w:rsidP="004204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4D4">
        <w:rPr>
          <w:rFonts w:ascii="Times New Roman" w:eastAsia="Times New Roman" w:hAnsi="Times New Roman" w:cs="Times New Roman"/>
          <w:vertAlign w:val="superscript"/>
        </w:rPr>
        <w:t>1</w:t>
      </w:r>
      <w:r w:rsidR="000F7CFA">
        <w:rPr>
          <w:rFonts w:ascii="Times New Roman" w:eastAsia="Times New Roman" w:hAnsi="Times New Roman" w:cs="Times New Roman"/>
        </w:rPr>
        <w:t>Departamento de E</w:t>
      </w:r>
      <w:r w:rsidRPr="004204D4">
        <w:rPr>
          <w:rFonts w:ascii="Times New Roman" w:eastAsia="Times New Roman" w:hAnsi="Times New Roman" w:cs="Times New Roman"/>
        </w:rPr>
        <w:t xml:space="preserve">ndocrinología, Pontificia Universidad Católica de Chile, </w:t>
      </w:r>
      <w:r w:rsidRPr="004204D4">
        <w:rPr>
          <w:rFonts w:ascii="Times New Roman" w:eastAsia="Times New Roman" w:hAnsi="Times New Roman" w:cs="Times New Roman"/>
          <w:vertAlign w:val="superscript"/>
        </w:rPr>
        <w:t>2</w:t>
      </w:r>
      <w:r w:rsidR="000F7CFA">
        <w:rPr>
          <w:rFonts w:ascii="Times New Roman" w:eastAsia="Times New Roman" w:hAnsi="Times New Roman" w:cs="Times New Roman"/>
        </w:rPr>
        <w:t>Departamento de G</w:t>
      </w:r>
      <w:r w:rsidRPr="004204D4">
        <w:rPr>
          <w:rFonts w:ascii="Times New Roman" w:eastAsia="Times New Roman" w:hAnsi="Times New Roman" w:cs="Times New Roman"/>
        </w:rPr>
        <w:t xml:space="preserve">astroenterología, Pontificia Universidad Católica de Chile, </w:t>
      </w:r>
      <w:r w:rsidRPr="004204D4">
        <w:rPr>
          <w:rFonts w:ascii="Times New Roman" w:eastAsia="Times New Roman" w:hAnsi="Times New Roman" w:cs="Times New Roman"/>
          <w:vertAlign w:val="superscript"/>
        </w:rPr>
        <w:t>3</w:t>
      </w:r>
      <w:r w:rsidR="000F7CFA">
        <w:rPr>
          <w:rFonts w:ascii="Times New Roman" w:eastAsia="Times New Roman" w:hAnsi="Times New Roman" w:cs="Times New Roman"/>
        </w:rPr>
        <w:t>Departamento de Anatomía P</w:t>
      </w:r>
      <w:r w:rsidRPr="004204D4">
        <w:rPr>
          <w:rFonts w:ascii="Times New Roman" w:eastAsia="Times New Roman" w:hAnsi="Times New Roman" w:cs="Times New Roman"/>
        </w:rPr>
        <w:t>atológica, Pontificia Universidad Católica de Chile</w:t>
      </w:r>
    </w:p>
    <w:p w:rsidR="00766E58" w:rsidRPr="004204D4" w:rsidRDefault="0027512D" w:rsidP="004204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4D4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>Hombre de 26 años sin antecedentes mórbidos Niega consumo de alcohol y drogas.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Consultó en gastroenterología por cuadro de 6 meses caracterizado por fatigabilidad progresiva y baja de peso 15kg con apetito conservado. En el último mes se agrega ictericia y prurito intenso. </w:t>
      </w:r>
      <w:proofErr w:type="gramStart"/>
      <w:r w:rsidRPr="004204D4">
        <w:rPr>
          <w:sz w:val="22"/>
          <w:szCs w:val="22"/>
        </w:rPr>
        <w:t>Transfusiones(</w:t>
      </w:r>
      <w:proofErr w:type="gramEnd"/>
      <w:r w:rsidRPr="004204D4">
        <w:rPr>
          <w:sz w:val="22"/>
          <w:szCs w:val="22"/>
        </w:rPr>
        <w:t>-), tatuajes/piercing(-), viajes(-). Examen físico: IMC: 18,5m/kg</w:t>
      </w:r>
      <w:r w:rsidRPr="004204D4">
        <w:rPr>
          <w:sz w:val="22"/>
          <w:szCs w:val="22"/>
          <w:vertAlign w:val="superscript"/>
        </w:rPr>
        <w:t>2</w:t>
      </w:r>
      <w:proofErr w:type="gramStart"/>
      <w:r w:rsidRPr="004204D4">
        <w:rPr>
          <w:sz w:val="22"/>
          <w:szCs w:val="22"/>
        </w:rPr>
        <w:t>,120</w:t>
      </w:r>
      <w:proofErr w:type="gramEnd"/>
      <w:r w:rsidRPr="004204D4">
        <w:rPr>
          <w:sz w:val="22"/>
          <w:szCs w:val="22"/>
        </w:rPr>
        <w:t xml:space="preserve">/80mmHg, 70 </w:t>
      </w:r>
      <w:proofErr w:type="spellStart"/>
      <w:r w:rsidRPr="004204D4">
        <w:rPr>
          <w:sz w:val="22"/>
          <w:szCs w:val="22"/>
        </w:rPr>
        <w:t>lpm</w:t>
      </w:r>
      <w:proofErr w:type="spellEnd"/>
      <w:r w:rsidRPr="004204D4">
        <w:rPr>
          <w:sz w:val="22"/>
          <w:szCs w:val="22"/>
        </w:rPr>
        <w:t xml:space="preserve"> regular. Ictericia de </w:t>
      </w:r>
      <w:proofErr w:type="spellStart"/>
      <w:r w:rsidRPr="004204D4">
        <w:rPr>
          <w:sz w:val="22"/>
          <w:szCs w:val="22"/>
        </w:rPr>
        <w:t>escleras</w:t>
      </w:r>
      <w:proofErr w:type="spellEnd"/>
      <w:r w:rsidRPr="004204D4">
        <w:rPr>
          <w:sz w:val="22"/>
          <w:szCs w:val="22"/>
        </w:rPr>
        <w:t xml:space="preserve"> y piel. Abdomen sin hallazgos.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>Laboratorio most</w:t>
      </w:r>
      <w:r w:rsidR="00B850A5">
        <w:rPr>
          <w:sz w:val="22"/>
          <w:szCs w:val="22"/>
        </w:rPr>
        <w:t>raba elevación de transaminasas</w:t>
      </w:r>
      <w:r w:rsidRPr="004204D4">
        <w:rPr>
          <w:sz w:val="22"/>
          <w:szCs w:val="22"/>
        </w:rPr>
        <w:t xml:space="preserve">, fosfatasas alcalinas e </w:t>
      </w:r>
      <w:proofErr w:type="spellStart"/>
      <w:r w:rsidRPr="004204D4">
        <w:rPr>
          <w:sz w:val="22"/>
          <w:szCs w:val="22"/>
        </w:rPr>
        <w:t>hiperbilirrubinemia</w:t>
      </w:r>
      <w:proofErr w:type="spellEnd"/>
      <w:r w:rsidRPr="004204D4">
        <w:rPr>
          <w:sz w:val="22"/>
          <w:szCs w:val="22"/>
        </w:rPr>
        <w:t xml:space="preserve"> de predominio directo (Tabla 1). Se solicitó estudio de </w:t>
      </w:r>
      <w:proofErr w:type="spellStart"/>
      <w:r w:rsidRPr="004204D4">
        <w:rPr>
          <w:sz w:val="22"/>
          <w:szCs w:val="22"/>
        </w:rPr>
        <w:t>colestasia</w:t>
      </w:r>
      <w:proofErr w:type="spellEnd"/>
      <w:r w:rsidRPr="004204D4">
        <w:rPr>
          <w:sz w:val="22"/>
          <w:szCs w:val="22"/>
        </w:rPr>
        <w:t>, resultando todo negativo.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TAC abdomen y pelvis: hígado y vesícula biliar sin alteraciones. Vía biliar intra y </w:t>
      </w:r>
      <w:proofErr w:type="spellStart"/>
      <w:r w:rsidRPr="004204D4">
        <w:rPr>
          <w:sz w:val="22"/>
          <w:szCs w:val="22"/>
        </w:rPr>
        <w:t>extrahepática</w:t>
      </w:r>
      <w:proofErr w:type="spellEnd"/>
      <w:r w:rsidRPr="004204D4">
        <w:rPr>
          <w:sz w:val="22"/>
          <w:szCs w:val="22"/>
        </w:rPr>
        <w:t xml:space="preserve"> de calibre normal. Sin adenopatías ni ascitis. </w:t>
      </w:r>
      <w:proofErr w:type="spellStart"/>
      <w:r w:rsidRPr="004204D4">
        <w:rPr>
          <w:sz w:val="22"/>
          <w:szCs w:val="22"/>
        </w:rPr>
        <w:t>Colangio</w:t>
      </w:r>
      <w:proofErr w:type="spellEnd"/>
      <w:r w:rsidRPr="004204D4">
        <w:rPr>
          <w:sz w:val="22"/>
          <w:szCs w:val="22"/>
        </w:rPr>
        <w:t xml:space="preserve"> RM descartó colelitiasis y </w:t>
      </w:r>
      <w:proofErr w:type="spellStart"/>
      <w:r w:rsidRPr="004204D4">
        <w:rPr>
          <w:sz w:val="22"/>
          <w:szCs w:val="22"/>
        </w:rPr>
        <w:t>coledocolitiasis</w:t>
      </w:r>
      <w:proofErr w:type="spellEnd"/>
      <w:r w:rsidRPr="004204D4">
        <w:rPr>
          <w:sz w:val="22"/>
          <w:szCs w:val="22"/>
        </w:rPr>
        <w:t>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Se inició manejo con ácido </w:t>
      </w:r>
      <w:proofErr w:type="spellStart"/>
      <w:r w:rsidRPr="004204D4">
        <w:rPr>
          <w:sz w:val="22"/>
          <w:szCs w:val="22"/>
        </w:rPr>
        <w:t>ursodesoxicólico</w:t>
      </w:r>
      <w:proofErr w:type="spellEnd"/>
      <w:r w:rsidRPr="004204D4">
        <w:rPr>
          <w:sz w:val="22"/>
          <w:szCs w:val="22"/>
        </w:rPr>
        <w:t xml:space="preserve"> y </w:t>
      </w:r>
      <w:proofErr w:type="spellStart"/>
      <w:r w:rsidRPr="004204D4">
        <w:rPr>
          <w:sz w:val="22"/>
          <w:szCs w:val="22"/>
        </w:rPr>
        <w:t>colestiramina</w:t>
      </w:r>
      <w:proofErr w:type="spellEnd"/>
      <w:r w:rsidRPr="004204D4">
        <w:rPr>
          <w:sz w:val="22"/>
          <w:szCs w:val="22"/>
        </w:rPr>
        <w:t xml:space="preserve"> 2gr c/8 horas. Al control semanal persistían síntomas e </w:t>
      </w:r>
      <w:proofErr w:type="spellStart"/>
      <w:r w:rsidRPr="004204D4">
        <w:rPr>
          <w:sz w:val="22"/>
          <w:szCs w:val="22"/>
        </w:rPr>
        <w:t>hiperbilirrubinemia</w:t>
      </w:r>
      <w:proofErr w:type="spellEnd"/>
      <w:r w:rsidRPr="004204D4">
        <w:rPr>
          <w:sz w:val="22"/>
          <w:szCs w:val="22"/>
        </w:rPr>
        <w:t xml:space="preserve"> (11,1mg/dL), por lo que se realizó biopsia hepática. Post biopsia evolucionó con taquicardia de 120 </w:t>
      </w:r>
      <w:proofErr w:type="spellStart"/>
      <w:r w:rsidRPr="004204D4">
        <w:rPr>
          <w:sz w:val="22"/>
          <w:szCs w:val="22"/>
        </w:rPr>
        <w:t>lpm</w:t>
      </w:r>
      <w:proofErr w:type="spellEnd"/>
      <w:r w:rsidRPr="004204D4">
        <w:rPr>
          <w:sz w:val="22"/>
          <w:szCs w:val="22"/>
        </w:rPr>
        <w:t xml:space="preserve">, sin compromiso hemodinámico. ECG: taquicardia sinusal. Dirigidamente refiere polidefecación, palpitaciones frecuentes, sin molestias oculares ni dolor cervical anterior agudo. Al examen: piel tibia, temblor transmitido de extremidades, </w:t>
      </w:r>
      <w:proofErr w:type="spellStart"/>
      <w:proofErr w:type="gramStart"/>
      <w:r w:rsidRPr="004204D4">
        <w:rPr>
          <w:sz w:val="22"/>
          <w:szCs w:val="22"/>
        </w:rPr>
        <w:t>Graeffe</w:t>
      </w:r>
      <w:proofErr w:type="spellEnd"/>
      <w:r w:rsidRPr="004204D4">
        <w:rPr>
          <w:sz w:val="22"/>
          <w:szCs w:val="22"/>
        </w:rPr>
        <w:t>(</w:t>
      </w:r>
      <w:proofErr w:type="gramEnd"/>
      <w:r w:rsidRPr="004204D4">
        <w:rPr>
          <w:sz w:val="22"/>
          <w:szCs w:val="22"/>
        </w:rPr>
        <w:t>+), sin signos de orbitopatía</w:t>
      </w:r>
      <w:r w:rsidR="000F7CFA">
        <w:rPr>
          <w:sz w:val="22"/>
          <w:szCs w:val="22"/>
        </w:rPr>
        <w:t xml:space="preserve"> </w:t>
      </w:r>
      <w:r w:rsidRPr="004204D4">
        <w:rPr>
          <w:sz w:val="22"/>
          <w:szCs w:val="22"/>
        </w:rPr>
        <w:t>distiroidea. Pérdida de masas musculares (+). Tiroides normal, sin nódulos. Mixedema pre tibial (-).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Del laboratorio destacaban hipertiroidismo primario con </w:t>
      </w:r>
      <w:proofErr w:type="spellStart"/>
      <w:proofErr w:type="gramStart"/>
      <w:r w:rsidRPr="004204D4">
        <w:rPr>
          <w:sz w:val="22"/>
          <w:szCs w:val="22"/>
        </w:rPr>
        <w:t>TRAb</w:t>
      </w:r>
      <w:proofErr w:type="spellEnd"/>
      <w:r w:rsidRPr="004204D4">
        <w:rPr>
          <w:sz w:val="22"/>
          <w:szCs w:val="22"/>
        </w:rPr>
        <w:t>(</w:t>
      </w:r>
      <w:proofErr w:type="gramEnd"/>
      <w:r w:rsidRPr="004204D4">
        <w:rPr>
          <w:sz w:val="22"/>
          <w:szCs w:val="22"/>
        </w:rPr>
        <w:t xml:space="preserve">+) (Tabla 1). Ecografía tiroidea: bocio difuso leve con vascularización acentuada. Se trató con propranolol 40mg c/8h, dexametasona 2mg c/12 horas </w:t>
      </w:r>
      <w:proofErr w:type="spellStart"/>
      <w:r w:rsidRPr="004204D4">
        <w:rPr>
          <w:sz w:val="22"/>
          <w:szCs w:val="22"/>
        </w:rPr>
        <w:t>i.v</w:t>
      </w:r>
      <w:proofErr w:type="spellEnd"/>
      <w:r w:rsidRPr="004204D4">
        <w:rPr>
          <w:sz w:val="22"/>
          <w:szCs w:val="22"/>
        </w:rPr>
        <w:t xml:space="preserve"> y se mantuvo </w:t>
      </w:r>
      <w:proofErr w:type="spellStart"/>
      <w:r w:rsidRPr="004204D4">
        <w:rPr>
          <w:sz w:val="22"/>
          <w:szCs w:val="22"/>
        </w:rPr>
        <w:t>colestiramina</w:t>
      </w:r>
      <w:proofErr w:type="spellEnd"/>
      <w:r w:rsidRPr="004204D4">
        <w:rPr>
          <w:sz w:val="22"/>
          <w:szCs w:val="22"/>
        </w:rPr>
        <w:t xml:space="preserve"> 2 gr c/6 horas, no pudiendo aumentar dosis por intolerancia gástrica.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Paciente evolucionó favorablemente con disminución de sintomatología hipertiroidea, dándose de alta con prednisona 20mg/día y otros fármacos en dosis previamente señaladas. Ante la imposibilidad de usar </w:t>
      </w:r>
      <w:proofErr w:type="spellStart"/>
      <w:r w:rsidRPr="004204D4">
        <w:rPr>
          <w:sz w:val="22"/>
          <w:szCs w:val="22"/>
        </w:rPr>
        <w:t>tionamidas</w:t>
      </w:r>
      <w:proofErr w:type="spellEnd"/>
      <w:r w:rsidRPr="004204D4">
        <w:rPr>
          <w:sz w:val="22"/>
          <w:szCs w:val="22"/>
        </w:rPr>
        <w:t xml:space="preserve"> por la falla hepática y la necesidad de tratamiento definitivo, se indicó radioyodo 20mCi 6 días post alta. Controles mensuales muestran hormonas tiroideas y </w:t>
      </w:r>
      <w:proofErr w:type="spellStart"/>
      <w:r w:rsidRPr="004204D4">
        <w:rPr>
          <w:sz w:val="22"/>
          <w:szCs w:val="22"/>
        </w:rPr>
        <w:t>bilirrubinemia</w:t>
      </w:r>
      <w:proofErr w:type="spellEnd"/>
      <w:r w:rsidRPr="004204D4">
        <w:rPr>
          <w:sz w:val="22"/>
          <w:szCs w:val="22"/>
        </w:rPr>
        <w:t xml:space="preserve"> en disminución progresiva. A los 2,5 meses post radioyodo: TSH: 0.034 uUI/ml, T4: 8.0 (4,6-12 ug/dL), </w:t>
      </w:r>
      <w:proofErr w:type="spellStart"/>
      <w:r w:rsidRPr="004204D4">
        <w:rPr>
          <w:sz w:val="22"/>
          <w:szCs w:val="22"/>
        </w:rPr>
        <w:t>BiliT</w:t>
      </w:r>
      <w:proofErr w:type="spellEnd"/>
      <w:r w:rsidRPr="004204D4">
        <w:rPr>
          <w:sz w:val="22"/>
          <w:szCs w:val="22"/>
        </w:rPr>
        <w:t>: 1.13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Informe de biopsia: hepatitis portal leve, </w:t>
      </w:r>
      <w:proofErr w:type="spellStart"/>
      <w:r w:rsidRPr="004204D4">
        <w:rPr>
          <w:sz w:val="22"/>
          <w:szCs w:val="22"/>
        </w:rPr>
        <w:t>colestasiacanalicular</w:t>
      </w:r>
      <w:proofErr w:type="spellEnd"/>
      <w:r w:rsidRPr="004204D4">
        <w:rPr>
          <w:sz w:val="22"/>
          <w:szCs w:val="22"/>
        </w:rPr>
        <w:t>, sin elementos de especificidad.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204D4">
        <w:rPr>
          <w:b/>
          <w:sz w:val="22"/>
          <w:szCs w:val="22"/>
        </w:rPr>
        <w:t>Conclusión: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204D4">
        <w:rPr>
          <w:sz w:val="22"/>
          <w:szCs w:val="22"/>
        </w:rPr>
        <w:t xml:space="preserve">Caso de </w:t>
      </w:r>
      <w:proofErr w:type="spellStart"/>
      <w:r w:rsidRPr="004204D4">
        <w:rPr>
          <w:sz w:val="22"/>
          <w:szCs w:val="22"/>
        </w:rPr>
        <w:t>colestasia</w:t>
      </w:r>
      <w:proofErr w:type="spellEnd"/>
      <w:r w:rsidRPr="004204D4">
        <w:rPr>
          <w:sz w:val="22"/>
          <w:szCs w:val="22"/>
        </w:rPr>
        <w:t xml:space="preserve"> severa sintomática en paciente con hipertiroidismo por EBG, en el que se descartaron razonablemente, otras causas. En la literatura están reportados sólo 8 casos por lo que se considera una manifestación muy poco frecuente de tirotoxicosis.</w:t>
      </w:r>
    </w:p>
    <w:p w:rsidR="00766E58" w:rsidRPr="004204D4" w:rsidRDefault="0027512D" w:rsidP="004204D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  <w:r w:rsidRPr="004204D4">
        <w:rPr>
          <w:b/>
          <w:sz w:val="22"/>
          <w:szCs w:val="22"/>
        </w:rPr>
        <w:t>Tabla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1050"/>
        <w:gridCol w:w="1050"/>
        <w:gridCol w:w="1029"/>
      </w:tblGrid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14/12/17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04/01/18</w:t>
            </w: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11/01/18</w:t>
            </w: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204D4">
              <w:rPr>
                <w:sz w:val="22"/>
                <w:szCs w:val="22"/>
              </w:rPr>
              <w:t>BiliT</w:t>
            </w:r>
            <w:proofErr w:type="spellEnd"/>
            <w:r w:rsidRPr="004204D4">
              <w:rPr>
                <w:sz w:val="22"/>
                <w:szCs w:val="22"/>
              </w:rPr>
              <w:t>/D (&lt;1,0/&lt;0,3mg/dL)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3,8/2,9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11,1/9,2</w:t>
            </w: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15/13</w:t>
            </w: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GOT (10-40 U/L)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172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108</w:t>
            </w: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25</w:t>
            </w: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GPT (10-55 U/L)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223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208</w:t>
            </w: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71</w:t>
            </w: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FA (45-115 U/L)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148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184</w:t>
            </w:r>
          </w:p>
        </w:tc>
        <w:tc>
          <w:tcPr>
            <w:tcW w:w="984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INR (0,9-1,1)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1,1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1,2</w:t>
            </w:r>
          </w:p>
        </w:tc>
        <w:tc>
          <w:tcPr>
            <w:tcW w:w="984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TSH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&lt;0,006</w:t>
            </w: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T4L (0,9-1,7 ng/dL)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&gt;7,7</w:t>
            </w:r>
          </w:p>
        </w:tc>
      </w:tr>
      <w:tr w:rsidR="00766E58" w:rsidRPr="004204D4">
        <w:trPr>
          <w:tblCellSpacing w:w="15" w:type="dxa"/>
        </w:trPr>
        <w:tc>
          <w:tcPr>
            <w:tcW w:w="2052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T3 (84,6-201,8 ng/dL)</w:t>
            </w:r>
          </w:p>
        </w:tc>
        <w:tc>
          <w:tcPr>
            <w:tcW w:w="1020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  <w:hideMark/>
          </w:tcPr>
          <w:p w:rsidR="00766E58" w:rsidRPr="004204D4" w:rsidRDefault="00766E58" w:rsidP="0042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vAlign w:val="center"/>
            <w:hideMark/>
          </w:tcPr>
          <w:p w:rsidR="00766E58" w:rsidRPr="004204D4" w:rsidRDefault="0027512D" w:rsidP="004204D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4D4">
              <w:rPr>
                <w:sz w:val="22"/>
                <w:szCs w:val="22"/>
              </w:rPr>
              <w:t>567</w:t>
            </w:r>
          </w:p>
        </w:tc>
      </w:tr>
    </w:tbl>
    <w:p w:rsidR="0027512D" w:rsidRPr="004204D4" w:rsidRDefault="0027512D" w:rsidP="004204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4D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4204D4">
        <w:rPr>
          <w:rFonts w:ascii="Times New Roman" w:eastAsia="Times New Roman" w:hAnsi="Times New Roman" w:cs="Times New Roman"/>
        </w:rPr>
        <w:t xml:space="preserve">Sin financiamiento </w:t>
      </w:r>
    </w:p>
    <w:sectPr w:rsidR="0027512D" w:rsidRPr="004204D4" w:rsidSect="00766E5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7FAE"/>
    <w:rsid w:val="000F7CFA"/>
    <w:rsid w:val="00147FAE"/>
    <w:rsid w:val="00204803"/>
    <w:rsid w:val="0027512D"/>
    <w:rsid w:val="00356C38"/>
    <w:rsid w:val="004204D4"/>
    <w:rsid w:val="00766E58"/>
    <w:rsid w:val="00B850A5"/>
    <w:rsid w:val="00BA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8</cp:revision>
  <cp:lastPrinted>2018-08-03T17:39:00Z</cp:lastPrinted>
  <dcterms:created xsi:type="dcterms:W3CDTF">2018-08-03T17:40:00Z</dcterms:created>
  <dcterms:modified xsi:type="dcterms:W3CDTF">2018-09-30T04:50:00Z</dcterms:modified>
</cp:coreProperties>
</file>